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F0FB9" w:rsidRDefault="00F92268" w:rsidP="000025F0">
            <w:pPr>
              <w:pStyle w:val="Header"/>
              <w:rPr>
                <w:rFonts w:cs="Arial"/>
                <w:sz w:val="16"/>
                <w:szCs w:val="16"/>
              </w:rPr>
            </w:pPr>
            <w:r w:rsidRPr="00FF0FB9">
              <w:rPr>
                <w:rFonts w:cs="Arial"/>
                <w:sz w:val="16"/>
                <w:szCs w:val="16"/>
              </w:rPr>
              <w:t>Reference number(s)</w:t>
            </w:r>
          </w:p>
        </w:tc>
      </w:tr>
      <w:tr w:rsidR="00FF0FB9"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AE82972" w:rsidR="00FF0FB9" w:rsidRPr="00FF0FB9" w:rsidRDefault="00FF0FB9" w:rsidP="00FF0FB9">
            <w:pPr>
              <w:rPr>
                <w:rFonts w:cs="Arial"/>
                <w:sz w:val="16"/>
                <w:szCs w:val="16"/>
              </w:rPr>
            </w:pPr>
            <w:r w:rsidRPr="00FF0FB9">
              <w:rPr>
                <w:rFonts w:cs="Arial"/>
                <w:sz w:val="16"/>
                <w:szCs w:val="16"/>
              </w:rPr>
              <w:t>6096-A</w:t>
            </w:r>
          </w:p>
        </w:tc>
      </w:tr>
    </w:tbl>
    <w:p w14:paraId="66CB1A11" w14:textId="77777777" w:rsidR="008B7EB6" w:rsidRDefault="008B7EB6" w:rsidP="00395947">
      <w:pPr>
        <w:pStyle w:val="BodyText"/>
        <w:snapToGrid w:val="0"/>
        <w:rPr>
          <w:sz w:val="16"/>
          <w:szCs w:val="16"/>
        </w:rPr>
        <w:sectPr w:rsidR="008B7EB6" w:rsidSect="00B1337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20BBEC7" w:rsidR="004B15BB" w:rsidRPr="00BD1CC1" w:rsidRDefault="00813308" w:rsidP="00395947">
      <w:pPr>
        <w:pStyle w:val="Heading1"/>
      </w:pPr>
      <w:r>
        <w:t>Specialty</w:t>
      </w:r>
      <w:r w:rsidRPr="00813308">
        <w:t xml:space="preserve"> </w:t>
      </w:r>
      <w:r>
        <w:t>Guideline</w:t>
      </w:r>
      <w:r w:rsidRPr="00813308">
        <w:t xml:space="preserve"> </w:t>
      </w:r>
      <w:r>
        <w:t>Management</w:t>
      </w:r>
      <w:r w:rsidR="008B7EB6">
        <w:br/>
      </w:r>
      <w:r w:rsidR="0034575C">
        <w:t>Vanflyta</w:t>
      </w:r>
    </w:p>
    <w:p w14:paraId="78861C92" w14:textId="677C3C91" w:rsidR="00203468" w:rsidRPr="00BD1CC1" w:rsidRDefault="00C64534" w:rsidP="008E0F0D">
      <w:pPr>
        <w:pStyle w:val="Heading2"/>
      </w:pPr>
      <w:r w:rsidRPr="00BD1CC1">
        <w:t xml:space="preserve">Products Referenced by this </w:t>
      </w:r>
      <w:r w:rsidR="00501602" w:rsidRPr="00BD1CC1">
        <w:t>Document</w:t>
      </w:r>
    </w:p>
    <w:p w14:paraId="5455152B" w14:textId="67A292F6"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6238C8" w:rsidRPr="00BD1CC1">
        <w:t>O</w:t>
      </w:r>
      <w:r w:rsidR="006238C8">
        <w:t>ver-the-counter</w:t>
      </w:r>
      <w:r w:rsidR="006238C8" w:rsidRPr="00BD1CC1">
        <w:t xml:space="preserve"> </w:t>
      </w:r>
      <w:r w:rsidR="006238C8">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AB7BD24" w:rsidR="00585FFF" w:rsidRPr="00BD1CC1" w:rsidRDefault="0034575C" w:rsidP="00E82ABA">
            <w:pPr>
              <w:pStyle w:val="TableDataUnpadded"/>
            </w:pPr>
            <w:r>
              <w:t>Vanflyta</w:t>
            </w:r>
          </w:p>
        </w:tc>
        <w:tc>
          <w:tcPr>
            <w:tcW w:w="5595" w:type="dxa"/>
          </w:tcPr>
          <w:p w14:paraId="7E26A004" w14:textId="5B11F21F" w:rsidR="00585FFF" w:rsidRPr="00BD1CC1" w:rsidRDefault="0034575C" w:rsidP="00E82ABA">
            <w:pPr>
              <w:pStyle w:val="TableDataUnpadded"/>
            </w:pPr>
            <w:r w:rsidRPr="0034575C">
              <w:t>quizartinib</w:t>
            </w:r>
          </w:p>
        </w:tc>
      </w:tr>
    </w:tbl>
    <w:bookmarkEnd w:id="0"/>
    <w:p w14:paraId="14CE6108" w14:textId="6D8F9C42" w:rsidR="00FC1AAD" w:rsidRDefault="00ED052F" w:rsidP="00ED052F">
      <w:pPr>
        <w:pStyle w:val="Heading2"/>
      </w:pPr>
      <w:r>
        <w:t>Indications</w:t>
      </w:r>
    </w:p>
    <w:p w14:paraId="3F7A75CC" w14:textId="6AF62632" w:rsidR="00813308" w:rsidRPr="00813308" w:rsidRDefault="0034575C" w:rsidP="00813308">
      <w:pPr>
        <w:pStyle w:val="BodyText"/>
      </w:pPr>
      <w:r w:rsidRPr="0034575C">
        <w:t>The indications below including FDA-approved indications and compendial uses are considered a covered benefit provided that all the approval criteria are met and the member has no exclusions to the prescribed therapy</w:t>
      </w:r>
      <w:r w:rsidR="00274DE4">
        <w:t>.</w:t>
      </w:r>
    </w:p>
    <w:p w14:paraId="134B5687" w14:textId="6E61725D" w:rsidR="00ED052F" w:rsidRPr="00BD1CC1" w:rsidRDefault="00ED052F" w:rsidP="00ED052F">
      <w:pPr>
        <w:pStyle w:val="Heading3"/>
        <w:keepNext w:val="0"/>
      </w:pPr>
      <w:r w:rsidRPr="00BD1CC1">
        <w:t>FDA-</w:t>
      </w:r>
      <w:r w:rsidR="008B7EB6">
        <w:t>A</w:t>
      </w:r>
      <w:r w:rsidRPr="00BD1CC1">
        <w:t>pproved Indications</w:t>
      </w:r>
      <w:r w:rsidR="008B7EB6" w:rsidRPr="008B7EB6">
        <w:rPr>
          <w:vertAlign w:val="superscript"/>
        </w:rPr>
        <w:t>1</w:t>
      </w:r>
    </w:p>
    <w:p w14:paraId="16722A12" w14:textId="77777777" w:rsidR="0034575C" w:rsidRDefault="0034575C" w:rsidP="008B7EB6">
      <w:pPr>
        <w:pStyle w:val="Heading4"/>
      </w:pPr>
      <w:r>
        <w:t>Acute Myeloid Leukemia</w:t>
      </w:r>
    </w:p>
    <w:p w14:paraId="3058A5F8" w14:textId="025BCA72" w:rsidR="005C778C" w:rsidRDefault="0034575C" w:rsidP="0034575C">
      <w:pPr>
        <w:pStyle w:val="BodyText"/>
      </w:pPr>
      <w:r>
        <w:t>Vanflyta in combination with standard cytarabine and anthracycline induction and cytarabine consolidation, and as maintenance monotherapy following consolidation chemotherapy, for the treatment of adult patients with newly diagnosed acute myeloid leukemia (AML) that is FLT3 internal tandem duplication (ITD)-positive as detected by an FDA-approved test</w:t>
      </w:r>
      <w:r w:rsidR="00ED052F" w:rsidRPr="00BD1CC1">
        <w:t>.</w:t>
      </w:r>
    </w:p>
    <w:p w14:paraId="76381818" w14:textId="5F622586" w:rsidR="0034575C" w:rsidRDefault="0034575C" w:rsidP="008B7EB6">
      <w:pPr>
        <w:pStyle w:val="Heading5"/>
      </w:pPr>
      <w:r>
        <w:t xml:space="preserve">Limitations of </w:t>
      </w:r>
      <w:r w:rsidRPr="008B7EB6">
        <w:t>use</w:t>
      </w:r>
      <w:r>
        <w:t>:</w:t>
      </w:r>
    </w:p>
    <w:p w14:paraId="303E4776" w14:textId="0E41C3A9" w:rsidR="0034575C" w:rsidRDefault="0034575C" w:rsidP="008B7EB6">
      <w:pPr>
        <w:pStyle w:val="BodyText"/>
      </w:pPr>
      <w:r>
        <w:t>Vanflyta is not indicated as maintenance monotherapy following allogeneic hematopoietic stem cell transplantation (HSCT); improvement in overall survival with Vanflyta in this setting has not been demonstrated.</w:t>
      </w:r>
    </w:p>
    <w:p w14:paraId="15171237" w14:textId="1D71B617" w:rsidR="0034575C" w:rsidRPr="0034575C" w:rsidRDefault="0034575C" w:rsidP="008B7EB6">
      <w:pPr>
        <w:pStyle w:val="BodyText"/>
      </w:pPr>
      <w:r w:rsidRPr="0034575C">
        <w:t>All other indications are considered experimental/investigational and not medically necessary.</w:t>
      </w:r>
    </w:p>
    <w:p w14:paraId="0B5EC236" w14:textId="4492B18B" w:rsidR="0044763A" w:rsidRPr="008B7EB6" w:rsidRDefault="009F2EF1" w:rsidP="0044763A">
      <w:pPr>
        <w:pStyle w:val="Heading3"/>
      </w:pPr>
      <w:r>
        <w:lastRenderedPageBreak/>
        <w:t>Compendial Use</w:t>
      </w:r>
      <w:r w:rsidR="00F41569" w:rsidRPr="00F41569">
        <w:rPr>
          <w:vertAlign w:val="superscript"/>
        </w:rPr>
        <w:t>2</w:t>
      </w:r>
    </w:p>
    <w:p w14:paraId="4451DCAD" w14:textId="0E793B21" w:rsidR="00B7251F" w:rsidRDefault="00B7251F" w:rsidP="008B7EB6">
      <w:pPr>
        <w:pStyle w:val="BodyText"/>
      </w:pPr>
      <w:r>
        <w:t>AML – as maintenance therapy post-allogeneic H</w:t>
      </w:r>
      <w:r w:rsidR="00B47EBF">
        <w:t>S</w:t>
      </w:r>
      <w:r>
        <w:t>CT, in remission with history of FLT3-ITD</w:t>
      </w:r>
    </w:p>
    <w:p w14:paraId="31A031E2" w14:textId="0DC495DE" w:rsidR="0034575C" w:rsidRDefault="0034575C" w:rsidP="0034575C">
      <w:pPr>
        <w:pStyle w:val="Heading2"/>
      </w:pPr>
      <w:r>
        <w:t>Documentation</w:t>
      </w:r>
    </w:p>
    <w:p w14:paraId="0944537F" w14:textId="3FFB2902" w:rsidR="0034575C" w:rsidRPr="0034575C" w:rsidRDefault="0034575C" w:rsidP="0034575C">
      <w:pPr>
        <w:pStyle w:val="BodyText"/>
      </w:pPr>
      <w:r w:rsidRPr="0034575C">
        <w:t>Submission of the following information is necessary to initiate the prior authorization review: medical record documentation of FLT3 internal tandem duplication (ITD) mutation</w:t>
      </w:r>
      <w:r w:rsidR="00865EB6">
        <w:t>.</w:t>
      </w:r>
    </w:p>
    <w:p w14:paraId="0FA3C28C" w14:textId="1576D0E9" w:rsidR="00C40AD3" w:rsidRPr="00BD1CC1" w:rsidRDefault="008B7EB6" w:rsidP="00C40AD3">
      <w:pPr>
        <w:pStyle w:val="Heading2"/>
      </w:pPr>
      <w:r w:rsidRPr="008B7EB6">
        <w:t>Coverage Criteria</w:t>
      </w:r>
    </w:p>
    <w:p w14:paraId="459658EB" w14:textId="13DABFF5" w:rsidR="0034575C" w:rsidRDefault="0034575C" w:rsidP="008B7EB6">
      <w:pPr>
        <w:pStyle w:val="Heading3"/>
      </w:pPr>
      <w:r>
        <w:t>Acute Myeloid Leukemia (AML)</w:t>
      </w:r>
      <w:r w:rsidRPr="008B7EB6">
        <w:rPr>
          <w:vertAlign w:val="superscript"/>
        </w:rPr>
        <w:t>1</w:t>
      </w:r>
    </w:p>
    <w:p w14:paraId="33DE1B58" w14:textId="5FCCBB8D" w:rsidR="0034575C" w:rsidRDefault="0034575C" w:rsidP="0034575C">
      <w:pPr>
        <w:pStyle w:val="BodyText"/>
      </w:pPr>
      <w:r>
        <w:t xml:space="preserve">Authorization of 12 months may be granted for treatment of AML that is FLT3 internal tandem duplication (ITD)-positive in </w:t>
      </w:r>
      <w:r w:rsidR="00C338CD">
        <w:t xml:space="preserve">any </w:t>
      </w:r>
      <w:r>
        <w:t>of the following clinical settings:</w:t>
      </w:r>
    </w:p>
    <w:p w14:paraId="6ACBCEFD" w14:textId="26B14768" w:rsidR="0034575C" w:rsidRDefault="00646F03" w:rsidP="008B7EB6">
      <w:pPr>
        <w:pStyle w:val="ListParagraph"/>
        <w:numPr>
          <w:ilvl w:val="0"/>
          <w:numId w:val="26"/>
        </w:numPr>
      </w:pPr>
      <w:r>
        <w:t>Induction therapy or re-induction in combination with cytarabine and daunorubicin or idarubicin</w:t>
      </w:r>
    </w:p>
    <w:p w14:paraId="3D2ECC3A" w14:textId="28AC8D50" w:rsidR="00646F03" w:rsidRDefault="00646F03" w:rsidP="008B7EB6">
      <w:pPr>
        <w:pStyle w:val="ListParagraph"/>
        <w:numPr>
          <w:ilvl w:val="0"/>
          <w:numId w:val="26"/>
        </w:numPr>
      </w:pPr>
      <w:r>
        <w:t>Consolidation therapy in combination with cytarabine</w:t>
      </w:r>
    </w:p>
    <w:p w14:paraId="2A605B6C" w14:textId="39738941" w:rsidR="00646F03" w:rsidRPr="008B7EB6" w:rsidRDefault="00646F03" w:rsidP="008B7EB6">
      <w:pPr>
        <w:pStyle w:val="ListParagraph"/>
        <w:numPr>
          <w:ilvl w:val="0"/>
          <w:numId w:val="26"/>
        </w:numPr>
      </w:pPr>
      <w:r>
        <w:t>Maintenance therapy as a single agent</w:t>
      </w:r>
    </w:p>
    <w:p w14:paraId="3A643EC3" w14:textId="7083A941" w:rsidR="00A501AC" w:rsidRPr="00BD1CC1" w:rsidRDefault="00A501AC" w:rsidP="00A501AC">
      <w:pPr>
        <w:pStyle w:val="Heading2"/>
      </w:pPr>
      <w:r w:rsidRPr="00BD1CC1">
        <w:t>Continuation of Therapy</w:t>
      </w:r>
    </w:p>
    <w:p w14:paraId="32C8905D" w14:textId="2AE6468A" w:rsidR="00A501AC" w:rsidRDefault="0034575C" w:rsidP="003D46B0">
      <w:pPr>
        <w:pStyle w:val="BodyText"/>
      </w:pPr>
      <w:r w:rsidRPr="0034575C">
        <w:t xml:space="preserve">Authorization of 12 months (for up to 36 months maintenance therapy) may be granted for continued treatment in members requesting reauthorization for an indication listed in </w:t>
      </w:r>
      <w:r w:rsidR="00985187" w:rsidRPr="00985187">
        <w:t>the coverage criteria section</w:t>
      </w:r>
      <w:r w:rsidRPr="0034575C">
        <w:t xml:space="preserve"> when there is no evidence of unacceptable toxicity or disease progression while on the current regimen</w:t>
      </w:r>
      <w:r w:rsidR="00A501AC" w:rsidRPr="003D46B0">
        <w:t>.</w:t>
      </w:r>
    </w:p>
    <w:p w14:paraId="33837878" w14:textId="77777777" w:rsidR="008B7EB6" w:rsidRDefault="008B7EB6" w:rsidP="003D46B0">
      <w:pPr>
        <w:pStyle w:val="BodyText"/>
        <w:sectPr w:rsidR="008B7EB6" w:rsidSect="00B1337A">
          <w:type w:val="continuous"/>
          <w:pgSz w:w="12240" w:h="15840" w:code="1"/>
          <w:pgMar w:top="900" w:right="720" w:bottom="990" w:left="720" w:header="720" w:footer="807" w:gutter="0"/>
          <w:paperSrc w:first="15" w:other="15"/>
          <w:cols w:space="720"/>
          <w:titlePg/>
          <w:docGrid w:linePitch="272"/>
        </w:sectPr>
      </w:pPr>
    </w:p>
    <w:p w14:paraId="0A275F8B" w14:textId="6862EA7A" w:rsidR="000E0438" w:rsidRPr="008D1B34" w:rsidRDefault="000E0438" w:rsidP="000E0438">
      <w:pPr>
        <w:pStyle w:val="Heading2"/>
      </w:pPr>
      <w:r w:rsidRPr="008D1B34">
        <w:t>References</w:t>
      </w:r>
    </w:p>
    <w:p w14:paraId="1F408548" w14:textId="1984B159" w:rsidR="0034575C" w:rsidRDefault="0034575C" w:rsidP="0034575C">
      <w:pPr>
        <w:pStyle w:val="ReferenceOrdered"/>
      </w:pPr>
      <w:r>
        <w:t>Vanflyta [package insert]. Basking Ridge, NJ: Daiichi Sankyo, Inc.; Ju</w:t>
      </w:r>
      <w:r w:rsidR="00AB38ED">
        <w:t>ne</w:t>
      </w:r>
      <w:r>
        <w:t xml:space="preserve"> 202</w:t>
      </w:r>
      <w:r w:rsidR="00AB38ED">
        <w:t>4</w:t>
      </w:r>
      <w:r>
        <w:t>.</w:t>
      </w:r>
    </w:p>
    <w:p w14:paraId="62AEB04C" w14:textId="2889D23C" w:rsidR="000E0438" w:rsidRDefault="0034575C" w:rsidP="0034575C">
      <w:pPr>
        <w:pStyle w:val="ReferenceOrdered"/>
      </w:pPr>
      <w:r>
        <w:t>The NCCN Drugs &amp; Biologics Compendium® © 202</w:t>
      </w:r>
      <w:r w:rsidR="00B47EBF">
        <w:t>5</w:t>
      </w:r>
      <w:r>
        <w:t xml:space="preserve"> National Comprehensive Cancer Network, Inc. http</w:t>
      </w:r>
      <w:r w:rsidR="00B47EBF">
        <w:t>s</w:t>
      </w:r>
      <w:r>
        <w:t xml:space="preserve">://www.nccn.org. Accessed </w:t>
      </w:r>
      <w:r w:rsidR="00482AE0">
        <w:t>January 2</w:t>
      </w:r>
      <w:r w:rsidR="00B47EBF">
        <w:t>4</w:t>
      </w:r>
      <w:r w:rsidR="00482AE0">
        <w:t>, 202</w:t>
      </w:r>
      <w:r w:rsidR="00B47EBF">
        <w:t>5</w:t>
      </w:r>
      <w:r w:rsidR="000E0438" w:rsidRPr="00BD1CC1">
        <w:t>.</w:t>
      </w:r>
    </w:p>
    <w:sectPr w:rsidR="000E0438" w:rsidSect="00B1337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A6A92" w14:textId="77777777" w:rsidR="00D51680" w:rsidRDefault="00D51680">
      <w:r>
        <w:separator/>
      </w:r>
    </w:p>
  </w:endnote>
  <w:endnote w:type="continuationSeparator" w:id="0">
    <w:p w14:paraId="600FC983" w14:textId="77777777" w:rsidR="00D51680" w:rsidRDefault="00D51680">
      <w:r>
        <w:continuationSeparator/>
      </w:r>
    </w:p>
  </w:endnote>
  <w:endnote w:type="continuationNotice" w:id="1">
    <w:p w14:paraId="539106A6" w14:textId="77777777" w:rsidR="00D51680" w:rsidRDefault="00D51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7C773" w14:textId="293F5847" w:rsidR="008B7EB6" w:rsidRPr="00EC47B6" w:rsidRDefault="008B7EB6" w:rsidP="008B7EB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927BF" w:rsidRPr="00A927BF">
      <w:rPr>
        <w:rFonts w:cs="Arial"/>
        <w:noProof/>
        <w:sz w:val="16"/>
        <w:szCs w:val="16"/>
      </w:rPr>
      <w:t>Vanflyta</w:t>
    </w:r>
    <w:r w:rsidR="00A927BF">
      <w:rPr>
        <w:rFonts w:cs="Arial"/>
        <w:noProof/>
        <w:snapToGrid w:val="0"/>
        <w:color w:val="000000"/>
        <w:sz w:val="16"/>
        <w:szCs w:val="16"/>
      </w:rPr>
      <w:t xml:space="preserve"> SGM 6096-A</w:t>
    </w:r>
    <w:r w:rsidR="00A927BF" w:rsidRPr="00A927BF">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482AE0">
      <w:rPr>
        <w:rFonts w:cs="Arial"/>
        <w:snapToGrid w:val="0"/>
        <w:color w:val="000000"/>
        <w:sz w:val="16"/>
      </w:rPr>
      <w:t>5</w:t>
    </w:r>
    <w:r w:rsidRPr="00EC47B6">
      <w:rPr>
        <w:rFonts w:cs="Arial"/>
        <w:snapToGrid w:val="0"/>
        <w:color w:val="000000"/>
        <w:sz w:val="16"/>
      </w:rPr>
      <w:t xml:space="preserve"> CVS Caremark. All rights reserved.</w:t>
    </w:r>
  </w:p>
  <w:p w14:paraId="7D0B7598" w14:textId="749B979B" w:rsidR="008B7EB6" w:rsidRPr="00EC47B6" w:rsidRDefault="008B7EB6" w:rsidP="008B7EB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300C043" w14:textId="669A17F9" w:rsidR="008B7EB6" w:rsidRPr="00AA1E6A" w:rsidRDefault="008B7EB6" w:rsidP="00EE285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935E" w14:textId="50E58EE7" w:rsidR="008B7EB6" w:rsidRPr="00EC47B6" w:rsidRDefault="008B7EB6" w:rsidP="008B7EB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D05AE" w:rsidRPr="00FD05AE">
      <w:rPr>
        <w:rFonts w:cs="Arial"/>
        <w:noProof/>
        <w:sz w:val="16"/>
        <w:szCs w:val="16"/>
      </w:rPr>
      <w:t>Vanflyta</w:t>
    </w:r>
    <w:r w:rsidR="00FD05AE">
      <w:rPr>
        <w:rFonts w:cs="Arial"/>
        <w:noProof/>
        <w:snapToGrid w:val="0"/>
        <w:color w:val="000000"/>
        <w:sz w:val="16"/>
        <w:szCs w:val="16"/>
      </w:rPr>
      <w:t xml:space="preserve"> SGM 6096-A</w:t>
    </w:r>
    <w:r w:rsidR="00FD05AE" w:rsidRPr="00FD05A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2024 CVS Caremark. All rights reserved.</w:t>
    </w:r>
  </w:p>
  <w:p w14:paraId="2A1A629A" w14:textId="11FE6D93" w:rsidR="008B7EB6" w:rsidRPr="00EC47B6" w:rsidRDefault="008B7EB6" w:rsidP="008B7EB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320BF91" w14:textId="2C09E565" w:rsidR="008B7EB6" w:rsidRPr="00AA1E6A" w:rsidRDefault="008B7EB6" w:rsidP="00EE285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15</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12826" w14:textId="77777777" w:rsidR="00D51680" w:rsidRDefault="00D51680">
      <w:r>
        <w:separator/>
      </w:r>
    </w:p>
  </w:footnote>
  <w:footnote w:type="continuationSeparator" w:id="0">
    <w:p w14:paraId="0086A473" w14:textId="77777777" w:rsidR="00D51680" w:rsidRDefault="00D51680">
      <w:r>
        <w:continuationSeparator/>
      </w:r>
    </w:p>
  </w:footnote>
  <w:footnote w:type="continuationNotice" w:id="1">
    <w:p w14:paraId="11275E37" w14:textId="77777777" w:rsidR="00D51680" w:rsidRDefault="00D516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B7EB6" w:rsidRPr="00ED04EC" w14:paraId="09A62B4E" w14:textId="77777777" w:rsidTr="00423E8B">
      <w:trPr>
        <w:trHeight w:val="144"/>
        <w:jc w:val="right"/>
      </w:trPr>
      <w:tc>
        <w:tcPr>
          <w:tcW w:w="1854" w:type="dxa"/>
          <w:hideMark/>
        </w:tcPr>
        <w:p w14:paraId="31A7B3B6" w14:textId="77777777" w:rsidR="008B7EB6" w:rsidRPr="008B7EB6" w:rsidRDefault="008B7EB6" w:rsidP="008B7EB6">
          <w:pPr>
            <w:pStyle w:val="Header"/>
            <w:rPr>
              <w:rFonts w:cs="Arial"/>
              <w:sz w:val="16"/>
              <w:szCs w:val="16"/>
            </w:rPr>
          </w:pPr>
          <w:r w:rsidRPr="008B7EB6">
            <w:rPr>
              <w:rFonts w:cs="Arial"/>
              <w:sz w:val="16"/>
              <w:szCs w:val="16"/>
            </w:rPr>
            <w:t>Reference number(s)</w:t>
          </w:r>
        </w:p>
      </w:tc>
    </w:tr>
    <w:tr w:rsidR="008B7EB6" w:rsidRPr="00ED04EC" w14:paraId="69CB01E5" w14:textId="77777777" w:rsidTr="00423E8B">
      <w:trPr>
        <w:trHeight w:val="378"/>
        <w:jc w:val="right"/>
      </w:trPr>
      <w:tc>
        <w:tcPr>
          <w:tcW w:w="1854" w:type="dxa"/>
          <w:hideMark/>
        </w:tcPr>
        <w:p w14:paraId="46D80F2D" w14:textId="458FC3D8" w:rsidR="008B7EB6" w:rsidRPr="008B7EB6" w:rsidRDefault="00F41569" w:rsidP="008B7EB6">
          <w:pPr>
            <w:pStyle w:val="Header"/>
            <w:rPr>
              <w:rFonts w:cs="Arial"/>
              <w:sz w:val="16"/>
              <w:szCs w:val="16"/>
            </w:rPr>
          </w:pPr>
          <w:r w:rsidRPr="00FF0FB9">
            <w:rPr>
              <w:rFonts w:cs="Arial"/>
              <w:sz w:val="16"/>
              <w:szCs w:val="16"/>
            </w:rPr>
            <w:t>6096-A</w:t>
          </w:r>
        </w:p>
      </w:tc>
    </w:tr>
  </w:tbl>
  <w:p w14:paraId="21423332" w14:textId="77777777" w:rsidR="008B7EB6" w:rsidRDefault="008B7E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850FB1"/>
    <w:multiLevelType w:val="hybridMultilevel"/>
    <w:tmpl w:val="5218B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1"/>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4"/>
  </w:num>
  <w:num w:numId="18" w16cid:durableId="299724409">
    <w:abstractNumId w:val="18"/>
  </w:num>
  <w:num w:numId="19" w16cid:durableId="214585573">
    <w:abstractNumId w:val="13"/>
  </w:num>
  <w:num w:numId="20" w16cid:durableId="1289816170">
    <w:abstractNumId w:val="14"/>
  </w:num>
  <w:num w:numId="21" w16cid:durableId="1066490929">
    <w:abstractNumId w:val="25"/>
  </w:num>
  <w:num w:numId="22" w16cid:durableId="1472481103">
    <w:abstractNumId w:val="20"/>
  </w:num>
  <w:num w:numId="23" w16cid:durableId="1997420403">
    <w:abstractNumId w:val="22"/>
  </w:num>
  <w:num w:numId="24" w16cid:durableId="33312838">
    <w:abstractNumId w:val="19"/>
  </w:num>
  <w:num w:numId="25" w16cid:durableId="507404939">
    <w:abstractNumId w:val="15"/>
  </w:num>
  <w:num w:numId="26" w16cid:durableId="175077840">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703"/>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DE4"/>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6F4C"/>
    <w:rsid w:val="002C7085"/>
    <w:rsid w:val="002C7217"/>
    <w:rsid w:val="002D08E3"/>
    <w:rsid w:val="002D0E27"/>
    <w:rsid w:val="002D115E"/>
    <w:rsid w:val="002D14E1"/>
    <w:rsid w:val="002D1E70"/>
    <w:rsid w:val="002D27EE"/>
    <w:rsid w:val="002D2C61"/>
    <w:rsid w:val="002D35B0"/>
    <w:rsid w:val="002D49E5"/>
    <w:rsid w:val="002D6257"/>
    <w:rsid w:val="002D6987"/>
    <w:rsid w:val="002D6D27"/>
    <w:rsid w:val="002E030E"/>
    <w:rsid w:val="002E06B0"/>
    <w:rsid w:val="002E15A0"/>
    <w:rsid w:val="002E1D9A"/>
    <w:rsid w:val="002E254D"/>
    <w:rsid w:val="002E362E"/>
    <w:rsid w:val="002E3C61"/>
    <w:rsid w:val="002E3D87"/>
    <w:rsid w:val="002E5C63"/>
    <w:rsid w:val="002E6AE1"/>
    <w:rsid w:val="002E7264"/>
    <w:rsid w:val="002F0DB6"/>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0F66"/>
    <w:rsid w:val="003319A7"/>
    <w:rsid w:val="00332104"/>
    <w:rsid w:val="00332261"/>
    <w:rsid w:val="0033231E"/>
    <w:rsid w:val="0033351E"/>
    <w:rsid w:val="00333878"/>
    <w:rsid w:val="00333FEE"/>
    <w:rsid w:val="003357AB"/>
    <w:rsid w:val="003363E7"/>
    <w:rsid w:val="003364EB"/>
    <w:rsid w:val="00336990"/>
    <w:rsid w:val="0034009A"/>
    <w:rsid w:val="0034083D"/>
    <w:rsid w:val="003409BE"/>
    <w:rsid w:val="00340B83"/>
    <w:rsid w:val="00341929"/>
    <w:rsid w:val="00341F47"/>
    <w:rsid w:val="00342365"/>
    <w:rsid w:val="00343BE2"/>
    <w:rsid w:val="00343E90"/>
    <w:rsid w:val="0034575C"/>
    <w:rsid w:val="003468A5"/>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947"/>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019"/>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5540"/>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AE0"/>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D6B"/>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53C"/>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53"/>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9B"/>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6BB2"/>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8C8"/>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F03"/>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49A7"/>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92B"/>
    <w:rsid w:val="007B3C6A"/>
    <w:rsid w:val="007B41A6"/>
    <w:rsid w:val="007B4652"/>
    <w:rsid w:val="007B4FD7"/>
    <w:rsid w:val="007B5F56"/>
    <w:rsid w:val="007B6ABC"/>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308"/>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43EA"/>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378A"/>
    <w:rsid w:val="008646F4"/>
    <w:rsid w:val="00864778"/>
    <w:rsid w:val="00865EB6"/>
    <w:rsid w:val="00866B5D"/>
    <w:rsid w:val="00866BCA"/>
    <w:rsid w:val="00866CFE"/>
    <w:rsid w:val="00867E8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8CA"/>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EB6"/>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187"/>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1EB"/>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201"/>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27BF"/>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8ED"/>
    <w:rsid w:val="00AB3A4C"/>
    <w:rsid w:val="00AB3ACD"/>
    <w:rsid w:val="00AB3B7A"/>
    <w:rsid w:val="00AB5F0B"/>
    <w:rsid w:val="00AB6199"/>
    <w:rsid w:val="00AB61EC"/>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37A"/>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47EBF"/>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1F"/>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0E36"/>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8CD"/>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68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49D"/>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A0"/>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858"/>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AFF"/>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569"/>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63F"/>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4D8"/>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5AE"/>
    <w:rsid w:val="00FD0BBA"/>
    <w:rsid w:val="00FD0C22"/>
    <w:rsid w:val="00FD0C3B"/>
    <w:rsid w:val="00FD0EAA"/>
    <w:rsid w:val="00FD1068"/>
    <w:rsid w:val="00FD16D0"/>
    <w:rsid w:val="00FD1973"/>
    <w:rsid w:val="00FD1AFB"/>
    <w:rsid w:val="00FD26D2"/>
    <w:rsid w:val="00FD2879"/>
    <w:rsid w:val="00FD34F0"/>
    <w:rsid w:val="00FD3A3B"/>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FB9"/>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Marginfooter">
    <w:name w:val="Margin footer"/>
    <w:basedOn w:val="Normal"/>
    <w:link w:val="MarginfooterChar"/>
    <w:qFormat/>
    <w:rsid w:val="008B7EB6"/>
    <w:pPr>
      <w:tabs>
        <w:tab w:val="center" w:pos="4320"/>
        <w:tab w:val="right" w:pos="8640"/>
      </w:tabs>
      <w:spacing w:after="200"/>
    </w:pPr>
    <w:rPr>
      <w:rFonts w:cs="Arial"/>
      <w:snapToGrid w:val="0"/>
      <w:sz w:val="16"/>
      <w:szCs w:val="16"/>
    </w:rPr>
  </w:style>
  <w:style w:type="character" w:customStyle="1" w:styleId="MarginfooterChar">
    <w:name w:val="Margin footer Char"/>
    <w:basedOn w:val="DefaultParagraphFont"/>
    <w:link w:val="Marginfooter"/>
    <w:rsid w:val="008B7EB6"/>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003B7-4CD1-4D03-89E8-EF72A0C75FB2}"/>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Vanflyta SGM 6096-A</vt:lpstr>
    </vt:vector>
  </TitlesOfParts>
  <Company>CVS Caremark</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Vanflyta SGM 6096-A</dc:title>
  <dc:subject>Vanflyta SGM 6096-A</dc:subject>
  <dc:creator>CVS Caremark</dc:creator>
  <cp:keywords/>
  <cp:lastModifiedBy>Reynoso, Victor H</cp:lastModifiedBy>
  <cp:revision>5</cp:revision>
  <cp:lastPrinted>2024-04-12T08:03:00Z</cp:lastPrinted>
  <dcterms:created xsi:type="dcterms:W3CDTF">2025-04-23T18:20:00Z</dcterms:created>
  <dcterms:modified xsi:type="dcterms:W3CDTF">2025-04-23T18:21:00Z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944200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